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825A85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bookmarkStart w:id="0" w:name="_GoBack"/>
      <w:bookmarkEnd w:id="0"/>
      <w:r w:rsidR="004F7B46" w:rsidRPr="004F7B46">
        <w:rPr>
          <w:bCs/>
          <w:noProof w:val="0"/>
          <w:sz w:val="24"/>
          <w:szCs w:val="24"/>
        </w:rPr>
        <w:t>1907068</w:t>
      </w:r>
    </w:p>
    <w:p w14:paraId="11776FA6" w14:textId="40F51389"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ADF3B5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D3885">
        <w:rPr>
          <w:rFonts w:cs="Arial"/>
          <w:b/>
          <w:bCs/>
          <w:sz w:val="24"/>
        </w:rPr>
        <w:t>11.2.1.1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99F78E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A4D4A">
        <w:rPr>
          <w:rFonts w:ascii="Arial" w:hAnsi="Arial" w:cs="Arial"/>
          <w:b/>
          <w:bCs/>
          <w:sz w:val="24"/>
        </w:rPr>
        <w:t>RA-RNTI design with extended response window</w:t>
      </w:r>
    </w:p>
    <w:p w14:paraId="1F147C23" w14:textId="654F79A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D3885">
        <w:rPr>
          <w:rFonts w:ascii="Arial" w:hAnsi="Arial" w:cs="Arial"/>
          <w:b/>
          <w:bCs/>
          <w:sz w:val="24"/>
        </w:rPr>
        <w:t>NR_unlic-Core</w:t>
      </w:r>
      <w:r w:rsidR="00BD3885" w:rsidRPr="00112F1A">
        <w:rPr>
          <w:rFonts w:ascii="Arial" w:hAnsi="Arial" w:cs="Arial"/>
          <w:b/>
          <w:bCs/>
          <w:sz w:val="24"/>
        </w:rPr>
        <w:t xml:space="preserve"> </w:t>
      </w:r>
      <w:r w:rsidR="00BD3885">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FDE7E99" w14:textId="60E149B7" w:rsidR="00BD3885" w:rsidRDefault="006E1D4A" w:rsidP="00BD3885">
      <w:r>
        <w:t>T</w:t>
      </w:r>
      <w:r w:rsidR="00BD3885">
        <w:t>he following was agreed in the previous RAN2#105-Bis meeting:</w:t>
      </w:r>
    </w:p>
    <w:tbl>
      <w:tblPr>
        <w:tblStyle w:val="TableGrid"/>
        <w:tblW w:w="9131" w:type="dxa"/>
        <w:tblInd w:w="455" w:type="dxa"/>
        <w:tblLook w:val="04A0" w:firstRow="1" w:lastRow="0" w:firstColumn="1" w:lastColumn="0" w:noHBand="0" w:noVBand="1"/>
      </w:tblPr>
      <w:tblGrid>
        <w:gridCol w:w="9131"/>
      </w:tblGrid>
      <w:tr w:rsidR="00BD3885" w14:paraId="7B7E909C" w14:textId="77777777" w:rsidTr="00BD3885">
        <w:trPr>
          <w:trHeight w:val="461"/>
        </w:trPr>
        <w:tc>
          <w:tcPr>
            <w:tcW w:w="9131" w:type="dxa"/>
            <w:shd w:val="clear" w:color="auto" w:fill="F2F2F2" w:themeFill="background1" w:themeFillShade="F2"/>
          </w:tcPr>
          <w:p w14:paraId="1AD51475" w14:textId="6D1E6227" w:rsidR="00BD3885" w:rsidRPr="006E1D4A" w:rsidRDefault="006E1D4A" w:rsidP="006E1D4A">
            <w:pPr>
              <w:pStyle w:val="Agreement"/>
            </w:pPr>
            <w:r w:rsidRPr="006E1D4A">
              <w:t>R2 assumes the maximum RAR window size is extended to [20] ms</w:t>
            </w:r>
          </w:p>
        </w:tc>
      </w:tr>
    </w:tbl>
    <w:p w14:paraId="7BECF41D" w14:textId="3DD5D1B0" w:rsidR="00BD3885" w:rsidRDefault="00BD3885" w:rsidP="00BD3885"/>
    <w:p w14:paraId="697C8569" w14:textId="32750EC9" w:rsidR="006E1D4A" w:rsidRDefault="006E1D4A" w:rsidP="00BD3885">
      <w:r>
        <w:t>Furthermore, it was generally concluded that the increased RAR window size does not come with an increased RA-RNTI space [1], however, it was not agreed before the maximum RAR window size is concluded.</w:t>
      </w:r>
    </w:p>
    <w:p w14:paraId="32CCD380" w14:textId="5C99A2A5" w:rsidR="006E1D4A" w:rsidRDefault="006E1D4A" w:rsidP="00BD3885">
      <w:r>
        <w:t>In this contribution we discuss the RA-RNTI design without a need to extend the RA-RNTI space as well as the maximum RAR window size which could be extended beyond 20ms given the RA-RNTI design would allow it.</w:t>
      </w:r>
    </w:p>
    <w:p w14:paraId="2BBFF540" w14:textId="2E90DF0D" w:rsidR="00A209D6" w:rsidRPr="006E13D1" w:rsidRDefault="00A209D6" w:rsidP="00A209D6">
      <w:pPr>
        <w:pStyle w:val="Heading1"/>
      </w:pPr>
      <w:r w:rsidRPr="006E13D1">
        <w:t>2</w:t>
      </w:r>
      <w:r w:rsidRPr="006E13D1">
        <w:tab/>
      </w:r>
      <w:r w:rsidR="006E1D4A">
        <w:t>Discussion</w:t>
      </w:r>
    </w:p>
    <w:p w14:paraId="1EB974D8" w14:textId="7ECF0F3E" w:rsidR="00BF4FBA" w:rsidRDefault="006E1D4A" w:rsidP="006E1D4A">
      <w:pPr>
        <w:pStyle w:val="Heading2"/>
      </w:pPr>
      <w:r>
        <w:t>2.1</w:t>
      </w:r>
      <w:r>
        <w:tab/>
        <w:t>RA-RNTI design</w:t>
      </w:r>
    </w:p>
    <w:p w14:paraId="35BC6131" w14:textId="4C1B3D14" w:rsidR="00A1360C" w:rsidRPr="00A1360C" w:rsidRDefault="00A1360C" w:rsidP="00A1360C">
      <w:r w:rsidRPr="00A1360C">
        <w:rPr>
          <w:lang w:val="en-US"/>
        </w:rPr>
        <w:t xml:space="preserve">For </w:t>
      </w:r>
      <w:r>
        <w:rPr>
          <w:lang w:val="en-US"/>
        </w:rPr>
        <w:t>Rel-15 NR</w:t>
      </w:r>
      <w:r w:rsidRPr="00A1360C">
        <w:rPr>
          <w:lang w:val="en-US"/>
        </w:rPr>
        <w:t>, the RA-RNTI is derived based on the following formula</w:t>
      </w:r>
      <w:r w:rsidRPr="00A1360C">
        <w:t xml:space="preserve"> (</w:t>
      </w:r>
      <w:hyperlink r:id="rId12" w:history="1">
        <w:r w:rsidRPr="00A1360C">
          <w:rPr>
            <w:rStyle w:val="Hyperlink"/>
          </w:rPr>
          <w:t>TS 38.321</w:t>
        </w:r>
      </w:hyperlink>
      <w:r w:rsidRPr="00A1360C">
        <w:t>):</w:t>
      </w:r>
    </w:p>
    <w:tbl>
      <w:tblPr>
        <w:tblStyle w:val="TableGrid"/>
        <w:tblW w:w="0" w:type="auto"/>
        <w:tblLook w:val="04A0" w:firstRow="1" w:lastRow="0" w:firstColumn="1" w:lastColumn="0" w:noHBand="0" w:noVBand="1"/>
      </w:tblPr>
      <w:tblGrid>
        <w:gridCol w:w="9631"/>
      </w:tblGrid>
      <w:tr w:rsidR="00A1360C" w:rsidRPr="00A1360C" w14:paraId="144955CD" w14:textId="77777777" w:rsidTr="004F7B46">
        <w:tc>
          <w:tcPr>
            <w:tcW w:w="9631" w:type="dxa"/>
            <w:shd w:val="clear" w:color="auto" w:fill="F2F2F2" w:themeFill="background1" w:themeFillShade="F2"/>
          </w:tcPr>
          <w:p w14:paraId="16E96919" w14:textId="77777777" w:rsidR="00A1360C" w:rsidRPr="00A1360C" w:rsidRDefault="00A1360C" w:rsidP="00A1360C">
            <w:r w:rsidRPr="00A1360C">
              <w:t>The RA-RNTI associated with the PRACH occasion in which the Random Access Preamble is transmitted, is computed as:</w:t>
            </w:r>
          </w:p>
          <w:p w14:paraId="1371A4D3" w14:textId="77777777" w:rsidR="00A1360C" w:rsidRPr="00A1360C" w:rsidRDefault="00A1360C" w:rsidP="00A1360C">
            <w:r w:rsidRPr="00A1360C">
              <w:t>RA-RNTI= 1 + s_id + 14 × t_id + 14 × 80 × f_id + 14 × 80 × 8 × ul_carrier_id</w:t>
            </w:r>
          </w:p>
          <w:p w14:paraId="09CCE3BC" w14:textId="77777777" w:rsidR="00A1360C" w:rsidRPr="00A1360C" w:rsidRDefault="00A1360C" w:rsidP="00A1360C">
            <w:r w:rsidRPr="00A1360C">
              <w:t>where s_id is the index of the first OFDM symbol of the PRACH occasion (0 ≤ s_id &lt; 14), t_id is the index of the first slot of the PRACH occasion in a system frame (0 ≤ t_id &lt; 80), f_id is the index of the PRACH occasion in the frequency domain (0 ≤ f_id &lt; 8), and ul_carrier_id is the UL carrier used for Random Access Preamble transmission (0 for NUL carrier, and 1 for SUL carrier).</w:t>
            </w:r>
          </w:p>
        </w:tc>
      </w:tr>
    </w:tbl>
    <w:p w14:paraId="5C6D5D48" w14:textId="77777777" w:rsidR="00A1360C" w:rsidRPr="00A1360C" w:rsidRDefault="00A1360C" w:rsidP="00A1360C">
      <w:r w:rsidRPr="00A1360C">
        <w:t xml:space="preserve"> </w:t>
      </w:r>
    </w:p>
    <w:p w14:paraId="6AA07BC1" w14:textId="4C02FFB5" w:rsidR="00A1360C" w:rsidRPr="00A1360C" w:rsidRDefault="00A1360C" w:rsidP="00A1360C">
      <w:r w:rsidRPr="00A1360C">
        <w:t>The RA-RNTI is unique for each RO (RACH Occasion) and shared between the preambles within one RO.</w:t>
      </w:r>
    </w:p>
    <w:p w14:paraId="0D16E693" w14:textId="16994FF1" w:rsidR="00A1360C" w:rsidRPr="00A1360C" w:rsidRDefault="00A1360C" w:rsidP="00A1360C">
      <w:r w:rsidRPr="00A1360C">
        <w:t xml:space="preserve">It is noted that the current formula and the specified specific PRACH configurations already reserve maximum of ~18000 RNTI values just within 10ms timeframe which is the maximum </w:t>
      </w:r>
      <w:r w:rsidRPr="00A1360C">
        <w:rPr>
          <w:i/>
        </w:rPr>
        <w:t>ra-ResponseWindow</w:t>
      </w:r>
      <w:r w:rsidRPr="00A1360C">
        <w:t xml:space="preserve"> value (ie., one system frame). </w:t>
      </w:r>
      <w:r>
        <w:t xml:space="preserve">In case </w:t>
      </w:r>
      <w:r w:rsidRPr="00A1360C">
        <w:rPr>
          <w:i/>
        </w:rPr>
        <w:t>ra-ResponseWindow</w:t>
      </w:r>
      <w:r>
        <w:rPr>
          <w:i/>
        </w:rPr>
        <w:t xml:space="preserve"> </w:t>
      </w:r>
      <w:r>
        <w:t xml:space="preserve">is extended to 20ms and this would directly be applied to the formula above, RA-RNTIs would reserve already maximum of ~36000 values. Besides, this eats the cake from other identifiers, like C-RNTI, and lowers down the number of UEs the cell can support simultaneously. On the other hand, if the RAR window would be extended further only in the future, it would become evident at the latest at that point in time </w:t>
      </w:r>
      <w:r w:rsidR="007644D4">
        <w:t>the RA-RNTI is not extended; hence, it seems desirable to make that decision already now.</w:t>
      </w:r>
    </w:p>
    <w:p w14:paraId="145D4C87" w14:textId="38FC0BA2" w:rsidR="00A1360C" w:rsidRPr="00A1360C" w:rsidRDefault="00A1360C" w:rsidP="00A1360C">
      <w:r w:rsidRPr="00A1360C">
        <w:rPr>
          <w:b/>
        </w:rPr>
        <w:t xml:space="preserve">Proposal </w:t>
      </w:r>
      <w:r w:rsidR="008E61EF">
        <w:rPr>
          <w:b/>
        </w:rPr>
        <w:t>1</w:t>
      </w:r>
      <w:r w:rsidRPr="00A1360C">
        <w:rPr>
          <w:b/>
        </w:rPr>
        <w:t xml:space="preserve">: </w:t>
      </w:r>
      <w:r w:rsidRPr="00A1360C">
        <w:t>RA-RNTI space is not increased</w:t>
      </w:r>
      <w:r w:rsidR="008E61EF">
        <w:t xml:space="preserve"> for NR-U</w:t>
      </w:r>
      <w:r w:rsidRPr="00A1360C">
        <w:t>.</w:t>
      </w:r>
    </w:p>
    <w:p w14:paraId="797FBB93" w14:textId="756772A8" w:rsidR="00A1360C" w:rsidRPr="008E61EF" w:rsidRDefault="00A1360C" w:rsidP="00A1360C">
      <w:r w:rsidRPr="00A1360C">
        <w:t>Given the RA-RNTI is unique only within a duration of one system frame, the same RA-RNTI may be derived for different preambles transmitted in subsequent system frames within the duration of the</w:t>
      </w:r>
      <w:r w:rsidR="008E61EF">
        <w:t xml:space="preserve"> extended</w:t>
      </w:r>
      <w:r w:rsidRPr="00A1360C">
        <w:t xml:space="preserve"> </w:t>
      </w:r>
      <w:r w:rsidR="008E61EF">
        <w:rPr>
          <w:i/>
        </w:rPr>
        <w:t>ra-ResponseWindow</w:t>
      </w:r>
      <w:r w:rsidRPr="00A1360C">
        <w:t xml:space="preserve">. To avoid extending RA-RNTI space in this case, it seems possible to indicate in the DCI scheduling the </w:t>
      </w:r>
      <w:r w:rsidR="008E61EF">
        <w:t>RAR</w:t>
      </w:r>
      <w:r w:rsidRPr="00A1360C">
        <w:t xml:space="preserve"> (or inside </w:t>
      </w:r>
      <w:r w:rsidRPr="00A1360C">
        <w:lastRenderedPageBreak/>
        <w:t xml:space="preserve">the </w:t>
      </w:r>
      <w:r w:rsidR="008E61EF">
        <w:t xml:space="preserve">RAR </w:t>
      </w:r>
      <w:r w:rsidRPr="00A1360C">
        <w:t xml:space="preserve">itself) the RO for which the </w:t>
      </w:r>
      <w:r w:rsidR="008E61EF">
        <w:t xml:space="preserve">RAR </w:t>
      </w:r>
      <w:r w:rsidRPr="00A1360C">
        <w:t xml:space="preserve">applies, basically, by indicating the system frame corresponding to the RO. DCI option would have the benefit of not requiring to decode the </w:t>
      </w:r>
      <w:r w:rsidR="008E61EF">
        <w:t xml:space="preserve">RAR </w:t>
      </w:r>
      <w:r w:rsidRPr="00A1360C">
        <w:t>to know if it was a correct one.</w:t>
      </w:r>
      <w:r w:rsidR="008E61EF">
        <w:t xml:space="preserve"> Such an indication would only be required in unlicensed bands where the extended </w:t>
      </w:r>
      <w:r w:rsidR="008E61EF">
        <w:rPr>
          <w:i/>
        </w:rPr>
        <w:t>ra-ResponseWindow</w:t>
      </w:r>
      <w:r w:rsidR="008E61EF">
        <w:t xml:space="preserve"> lengths would be employed to account the possible LBT failures; if LAA (License Assisted Access) is employed, the indication is not required as the RAR window can be configured as in legacy (and would hence work with legacy UEs similarly).</w:t>
      </w:r>
    </w:p>
    <w:p w14:paraId="344BE153" w14:textId="187A30F6" w:rsidR="00A1360C" w:rsidRPr="00A1360C" w:rsidRDefault="00A1360C" w:rsidP="00A1360C">
      <w:r w:rsidRPr="00A1360C">
        <w:rPr>
          <w:b/>
        </w:rPr>
        <w:t xml:space="preserve">Observation </w:t>
      </w:r>
      <w:r w:rsidR="008E61EF">
        <w:rPr>
          <w:b/>
        </w:rPr>
        <w:t>1</w:t>
      </w:r>
      <w:r w:rsidRPr="00A1360C">
        <w:rPr>
          <w:b/>
        </w:rPr>
        <w:t xml:space="preserve">: </w:t>
      </w:r>
      <w:r w:rsidR="00BB1D3B">
        <w:t>When RA-RNTI space is not increased, s</w:t>
      </w:r>
      <w:r w:rsidRPr="00A1360C">
        <w:t xml:space="preserve">ame RA-RNTI can be derived for multiple ROs in subsequent system frames within the duration of </w:t>
      </w:r>
      <w:r w:rsidR="008E61EF">
        <w:t xml:space="preserve">extended </w:t>
      </w:r>
      <w:r w:rsidR="008E61EF">
        <w:rPr>
          <w:i/>
        </w:rPr>
        <w:t>ra-ResponseWindow</w:t>
      </w:r>
      <w:r w:rsidRPr="00A1360C">
        <w:t>.</w:t>
      </w:r>
    </w:p>
    <w:p w14:paraId="5E100EC8" w14:textId="3842D97F" w:rsidR="00A1360C" w:rsidRPr="00A1360C" w:rsidRDefault="00A1360C" w:rsidP="00A1360C">
      <w:r w:rsidRPr="00A1360C">
        <w:rPr>
          <w:b/>
        </w:rPr>
        <w:t xml:space="preserve">Proposal </w:t>
      </w:r>
      <w:r w:rsidR="008E61EF">
        <w:rPr>
          <w:b/>
        </w:rPr>
        <w:t>2:</w:t>
      </w:r>
      <w:r w:rsidRPr="00A1360C">
        <w:rPr>
          <w:b/>
        </w:rPr>
        <w:t xml:space="preserve"> </w:t>
      </w:r>
      <w:r w:rsidRPr="00A1360C">
        <w:t xml:space="preserve">DCI scheduling the </w:t>
      </w:r>
      <w:r w:rsidR="008E61EF">
        <w:t xml:space="preserve">RAR </w:t>
      </w:r>
      <w:r w:rsidRPr="00A1360C">
        <w:t xml:space="preserve">or </w:t>
      </w:r>
      <w:r w:rsidR="008E61EF">
        <w:t xml:space="preserve">RAR </w:t>
      </w:r>
      <w:r w:rsidRPr="00A1360C">
        <w:t xml:space="preserve">itself indicates which RO (RACH Occasion) the </w:t>
      </w:r>
      <w:r w:rsidR="008E61EF">
        <w:t xml:space="preserve">RAR </w:t>
      </w:r>
      <w:r w:rsidRPr="00A1360C">
        <w:t>responses correspond to.</w:t>
      </w:r>
    </w:p>
    <w:p w14:paraId="2914027F" w14:textId="475C50DF" w:rsidR="00A1360C" w:rsidRPr="00A1360C" w:rsidRDefault="00A1360C" w:rsidP="00A1360C">
      <w:r w:rsidRPr="00A1360C">
        <w:t xml:space="preserve">It should be noted that this design option would also work for the </w:t>
      </w:r>
      <w:r w:rsidR="008E61EF">
        <w:t xml:space="preserve">2-step RACH </w:t>
      </w:r>
      <w:r w:rsidRPr="00A1360C">
        <w:t xml:space="preserve">case where </w:t>
      </w:r>
      <w:r w:rsidR="008E61EF">
        <w:t>MsgB</w:t>
      </w:r>
      <w:r w:rsidRPr="00A1360C">
        <w:t xml:space="preserve"> window is also going to be </w:t>
      </w:r>
      <w:r w:rsidR="008E61EF">
        <w:t xml:space="preserve">comparable to </w:t>
      </w:r>
      <w:r w:rsidR="008E61EF">
        <w:rPr>
          <w:i/>
        </w:rPr>
        <w:t>ra-ContentionResolutionTimer</w:t>
      </w:r>
      <w:r w:rsidR="008E61EF">
        <w:t xml:space="preserve"> length which can be up to 64ms</w:t>
      </w:r>
      <w:r w:rsidRPr="00A1360C">
        <w:t>.</w:t>
      </w:r>
    </w:p>
    <w:p w14:paraId="0EC7DC9D" w14:textId="5769085D" w:rsidR="00A1360C" w:rsidRDefault="00A1360C" w:rsidP="00A1360C">
      <w:pPr>
        <w:pStyle w:val="Heading2"/>
      </w:pPr>
      <w:r>
        <w:t>2.</w:t>
      </w:r>
      <w:r w:rsidR="008E61EF">
        <w:t>2</w:t>
      </w:r>
      <w:r>
        <w:tab/>
        <w:t>Maximum RAR window size</w:t>
      </w:r>
    </w:p>
    <w:p w14:paraId="1C310C5E" w14:textId="6C9BC8C4" w:rsidR="008E5E67" w:rsidRDefault="006E1D4A" w:rsidP="00A209D6">
      <w:r>
        <w:t xml:space="preserve">It was debated during the last meeting </w:t>
      </w:r>
      <w:r w:rsidR="008E61EF">
        <w:t>whether the 20ms would suffice to increase the RAR transmission opportunities enough. On the other hand, considering the design above for RAR reception with the same RA-RNTI space defined for the Rel-15, it seems easily possible to extend the RAR window size in the extend that is future proof, e.g., up to 40ms.</w:t>
      </w:r>
    </w:p>
    <w:p w14:paraId="402F0505" w14:textId="6BB19485" w:rsidR="008E61EF" w:rsidRPr="008E61EF" w:rsidRDefault="008E61EF" w:rsidP="00A209D6">
      <w:r>
        <w:rPr>
          <w:b/>
        </w:rPr>
        <w:t xml:space="preserve">Proposal 3: </w:t>
      </w:r>
      <w:r>
        <w:t>Extend the maximum RAR window size at least up to 40ms.</w:t>
      </w:r>
    </w:p>
    <w:p w14:paraId="766D6D29" w14:textId="00272435" w:rsidR="00A209D6" w:rsidRPr="006E13D1" w:rsidRDefault="00A209D6" w:rsidP="00A209D6">
      <w:pPr>
        <w:pStyle w:val="Heading1"/>
      </w:pPr>
      <w:r w:rsidRPr="006E13D1">
        <w:t>3</w:t>
      </w:r>
      <w:r w:rsidRPr="006E13D1">
        <w:tab/>
      </w:r>
      <w:r w:rsidR="008E61EF">
        <w:t>Conclusions</w:t>
      </w:r>
    </w:p>
    <w:p w14:paraId="0121FB39" w14:textId="77777777" w:rsidR="00BB1D3B" w:rsidRDefault="008E61EF" w:rsidP="00A209D6">
      <w:r>
        <w:t>In this contribution the RA-RNTI design for RAR reception in unlicensed bands was discussed as well as the maximum RAR window size</w:t>
      </w:r>
      <w:r w:rsidR="00BB1D3B">
        <w:t>, the following is proposed:</w:t>
      </w:r>
    </w:p>
    <w:p w14:paraId="59FF31CB" w14:textId="77777777" w:rsidR="00BB1D3B" w:rsidRPr="00A1360C" w:rsidRDefault="00BB1D3B" w:rsidP="00BB1D3B">
      <w:r w:rsidRPr="00A1360C">
        <w:rPr>
          <w:b/>
        </w:rPr>
        <w:t xml:space="preserve">Proposal </w:t>
      </w:r>
      <w:r>
        <w:rPr>
          <w:b/>
        </w:rPr>
        <w:t>1</w:t>
      </w:r>
      <w:r w:rsidRPr="00A1360C">
        <w:rPr>
          <w:b/>
        </w:rPr>
        <w:t xml:space="preserve">: </w:t>
      </w:r>
      <w:r w:rsidRPr="00A1360C">
        <w:t>RA-RNTI space is not increased</w:t>
      </w:r>
      <w:r>
        <w:t xml:space="preserve"> for NR-U</w:t>
      </w:r>
      <w:r w:rsidRPr="00A1360C">
        <w:t>.</w:t>
      </w:r>
    </w:p>
    <w:p w14:paraId="2E26302F" w14:textId="251D5F3F" w:rsidR="00BB1D3B" w:rsidRPr="00A1360C" w:rsidRDefault="00BB1D3B" w:rsidP="00BB1D3B">
      <w:r w:rsidRPr="00A1360C">
        <w:rPr>
          <w:b/>
        </w:rPr>
        <w:t xml:space="preserve">Observation </w:t>
      </w:r>
      <w:r>
        <w:rPr>
          <w:b/>
        </w:rPr>
        <w:t>1</w:t>
      </w:r>
      <w:r w:rsidRPr="00A1360C">
        <w:rPr>
          <w:b/>
        </w:rPr>
        <w:t xml:space="preserve">: </w:t>
      </w:r>
      <w:r>
        <w:t>When RA-RNTI space is not increased, s</w:t>
      </w:r>
      <w:r w:rsidRPr="00A1360C">
        <w:t xml:space="preserve">ame RA-RNTI can be derived for multiple ROs in subsequent system frames within the duration of </w:t>
      </w:r>
      <w:r>
        <w:t xml:space="preserve">extended </w:t>
      </w:r>
      <w:r>
        <w:rPr>
          <w:i/>
        </w:rPr>
        <w:t>ra-ResponseWindow</w:t>
      </w:r>
      <w:r w:rsidRPr="00A1360C">
        <w:t>.</w:t>
      </w:r>
    </w:p>
    <w:p w14:paraId="0A134315" w14:textId="77777777" w:rsidR="00BB1D3B" w:rsidRPr="00A1360C" w:rsidRDefault="00BB1D3B" w:rsidP="00BB1D3B">
      <w:r w:rsidRPr="00A1360C">
        <w:rPr>
          <w:b/>
        </w:rPr>
        <w:t xml:space="preserve">Proposal </w:t>
      </w:r>
      <w:r>
        <w:rPr>
          <w:b/>
        </w:rPr>
        <w:t>2:</w:t>
      </w:r>
      <w:r w:rsidRPr="00A1360C">
        <w:rPr>
          <w:b/>
        </w:rPr>
        <w:t xml:space="preserve"> </w:t>
      </w:r>
      <w:r w:rsidRPr="00A1360C">
        <w:t xml:space="preserve">DCI scheduling the </w:t>
      </w:r>
      <w:r>
        <w:t xml:space="preserve">RAR </w:t>
      </w:r>
      <w:r w:rsidRPr="00A1360C">
        <w:t xml:space="preserve">or </w:t>
      </w:r>
      <w:r>
        <w:t xml:space="preserve">RAR </w:t>
      </w:r>
      <w:r w:rsidRPr="00A1360C">
        <w:t xml:space="preserve">itself indicates which RO (RACH Occasion) the </w:t>
      </w:r>
      <w:r>
        <w:t xml:space="preserve">RAR </w:t>
      </w:r>
      <w:r w:rsidRPr="00A1360C">
        <w:t>responses correspond to.</w:t>
      </w:r>
    </w:p>
    <w:p w14:paraId="20014576" w14:textId="77777777" w:rsidR="00BB1D3B" w:rsidRPr="008E61EF" w:rsidRDefault="00BB1D3B" w:rsidP="00BB1D3B">
      <w:r>
        <w:rPr>
          <w:b/>
        </w:rPr>
        <w:t xml:space="preserve">Proposal 3: </w:t>
      </w:r>
      <w:r>
        <w:t>Extend the maximum RAR window size at least up to 40ms.</w:t>
      </w:r>
    </w:p>
    <w:p w14:paraId="53225C33" w14:textId="77777777" w:rsidR="00C8655D" w:rsidRPr="006E13D1" w:rsidRDefault="00C8655D" w:rsidP="00C8655D">
      <w:pPr>
        <w:pStyle w:val="Heading1"/>
      </w:pPr>
      <w:r>
        <w:t>References</w:t>
      </w:r>
    </w:p>
    <w:p w14:paraId="6837E50B" w14:textId="0019356A" w:rsidR="00C8655D" w:rsidRDefault="00C8655D" w:rsidP="00C8655D">
      <w:pPr>
        <w:numPr>
          <w:ilvl w:val="0"/>
          <w:numId w:val="9"/>
        </w:numPr>
      </w:pPr>
      <w:r>
        <w:t>R2-190</w:t>
      </w:r>
      <w:r w:rsidR="006E1D4A">
        <w:t>3282</w:t>
      </w:r>
      <w:r>
        <w:t xml:space="preserve">, </w:t>
      </w:r>
      <w:r w:rsidR="006E1D4A" w:rsidRPr="006E1D4A">
        <w:rPr>
          <w:i/>
        </w:rPr>
        <w:t>Summary of Email discussion [105#50][NR-U] RACH 4-step and SR</w:t>
      </w:r>
      <w:r w:rsidR="00F42E6C">
        <w:rPr>
          <w:i/>
        </w:rPr>
        <w:t xml:space="preserve">S on RACH </w:t>
      </w:r>
      <w:r w:rsidR="00AB1B7B">
        <w:rPr>
          <w:i/>
        </w:rPr>
        <w:t xml:space="preserve">agreements </w:t>
      </w:r>
      <w:r w:rsidR="00C70FDA">
        <w:rPr>
          <w:i/>
        </w:rPr>
        <w:t>for NR-U</w:t>
      </w:r>
      <w:r>
        <w:t xml:space="preserve">, </w:t>
      </w:r>
      <w:r w:rsidR="006E1D4A">
        <w:t>OPPO</w:t>
      </w:r>
    </w:p>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D38E4" w14:textId="77777777" w:rsidR="004F7B46" w:rsidRDefault="004F7B46">
      <w:r>
        <w:separator/>
      </w:r>
    </w:p>
  </w:endnote>
  <w:endnote w:type="continuationSeparator" w:id="0">
    <w:p w14:paraId="007C5E6D" w14:textId="77777777" w:rsidR="004F7B46" w:rsidRDefault="004F7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4F7B46" w:rsidRDefault="004F7B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4F7B46" w:rsidRDefault="004F7B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4F7B46" w:rsidRDefault="004F7B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733EC" w14:textId="77777777" w:rsidR="004F7B46" w:rsidRDefault="004F7B46">
      <w:r>
        <w:separator/>
      </w:r>
    </w:p>
  </w:footnote>
  <w:footnote w:type="continuationSeparator" w:id="0">
    <w:p w14:paraId="300868CB" w14:textId="77777777" w:rsidR="004F7B46" w:rsidRDefault="004F7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4F7B46" w:rsidRDefault="004F7B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4F7B46" w:rsidRDefault="004F7B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4F7B46" w:rsidRDefault="004F7B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57E37"/>
    <w:rsid w:val="00073C9C"/>
    <w:rsid w:val="00080512"/>
    <w:rsid w:val="00090468"/>
    <w:rsid w:val="000945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65587"/>
    <w:rsid w:val="00477455"/>
    <w:rsid w:val="00484B41"/>
    <w:rsid w:val="004A1F7B"/>
    <w:rsid w:val="004C44D2"/>
    <w:rsid w:val="004D3578"/>
    <w:rsid w:val="004D380D"/>
    <w:rsid w:val="004E213A"/>
    <w:rsid w:val="004F7B46"/>
    <w:rsid w:val="00503171"/>
    <w:rsid w:val="00506C28"/>
    <w:rsid w:val="00534DA0"/>
    <w:rsid w:val="00543E6C"/>
    <w:rsid w:val="00565087"/>
    <w:rsid w:val="0056573F"/>
    <w:rsid w:val="00611566"/>
    <w:rsid w:val="00646D99"/>
    <w:rsid w:val="00656910"/>
    <w:rsid w:val="006C66D8"/>
    <w:rsid w:val="006D1E24"/>
    <w:rsid w:val="006E1417"/>
    <w:rsid w:val="006E1D4A"/>
    <w:rsid w:val="006F6A2C"/>
    <w:rsid w:val="0070661B"/>
    <w:rsid w:val="00710201"/>
    <w:rsid w:val="0072073A"/>
    <w:rsid w:val="007342B5"/>
    <w:rsid w:val="00734A5B"/>
    <w:rsid w:val="00744E76"/>
    <w:rsid w:val="00757D40"/>
    <w:rsid w:val="007644D4"/>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E5E67"/>
    <w:rsid w:val="008E61EF"/>
    <w:rsid w:val="008F396F"/>
    <w:rsid w:val="0090271F"/>
    <w:rsid w:val="00902DB9"/>
    <w:rsid w:val="0090466A"/>
    <w:rsid w:val="00936071"/>
    <w:rsid w:val="00940212"/>
    <w:rsid w:val="00942EC2"/>
    <w:rsid w:val="00961B32"/>
    <w:rsid w:val="00962509"/>
    <w:rsid w:val="00970DB3"/>
    <w:rsid w:val="00974BB0"/>
    <w:rsid w:val="0099248E"/>
    <w:rsid w:val="009A0AF3"/>
    <w:rsid w:val="009B07CD"/>
    <w:rsid w:val="009C19E9"/>
    <w:rsid w:val="009D74A6"/>
    <w:rsid w:val="00A10F02"/>
    <w:rsid w:val="00A1360C"/>
    <w:rsid w:val="00A204CA"/>
    <w:rsid w:val="00A209D6"/>
    <w:rsid w:val="00A460E1"/>
    <w:rsid w:val="00A53724"/>
    <w:rsid w:val="00A54B2B"/>
    <w:rsid w:val="00A82346"/>
    <w:rsid w:val="00A9671C"/>
    <w:rsid w:val="00AA1553"/>
    <w:rsid w:val="00AB1B7B"/>
    <w:rsid w:val="00B05380"/>
    <w:rsid w:val="00B05962"/>
    <w:rsid w:val="00B15449"/>
    <w:rsid w:val="00B16C2F"/>
    <w:rsid w:val="00B27303"/>
    <w:rsid w:val="00B47FD1"/>
    <w:rsid w:val="00B516BB"/>
    <w:rsid w:val="00B84DB2"/>
    <w:rsid w:val="00BB1D3B"/>
    <w:rsid w:val="00BC3555"/>
    <w:rsid w:val="00BD3885"/>
    <w:rsid w:val="00BF4FBA"/>
    <w:rsid w:val="00C12B51"/>
    <w:rsid w:val="00C24650"/>
    <w:rsid w:val="00C25465"/>
    <w:rsid w:val="00C33079"/>
    <w:rsid w:val="00C70FDA"/>
    <w:rsid w:val="00C83A13"/>
    <w:rsid w:val="00C8655D"/>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A4D4A"/>
    <w:rsid w:val="00EA66C9"/>
    <w:rsid w:val="00EC4A25"/>
    <w:rsid w:val="00F025A2"/>
    <w:rsid w:val="00F07388"/>
    <w:rsid w:val="00F2026E"/>
    <w:rsid w:val="00F2210A"/>
    <w:rsid w:val="00F37743"/>
    <w:rsid w:val="00F42E6C"/>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BD388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BD3885"/>
    <w:pPr>
      <w:numPr>
        <w:numId w:val="8"/>
      </w:numPr>
      <w:spacing w:before="60" w:after="0"/>
    </w:pPr>
    <w:rPr>
      <w:rFonts w:ascii="Arial" w:eastAsia="MS Mincho" w:hAnsi="Arial"/>
      <w:b/>
      <w:szCs w:val="24"/>
      <w:lang w:eastAsia="en-GB"/>
    </w:rPr>
  </w:style>
  <w:style w:type="character" w:styleId="UnresolvedMention">
    <w:name w:val="Unresolved Mention"/>
    <w:basedOn w:val="DefaultParagraphFont"/>
    <w:rsid w:val="00A13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33104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archive/38_series/38.321/38321-f40.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purl.org/dc/dcmitype/"/>
    <ds:schemaRef ds:uri="http://schemas.microsoft.com/office/infopath/2007/PartnerControls"/>
    <ds:schemaRef ds:uri="http://purl.org/dc/elements/1.1/"/>
    <ds:schemaRef ds:uri="http://purl.org/dc/terms/"/>
    <ds:schemaRef ds:uri="http://www.w3.org/XML/1998/namespace"/>
    <ds:schemaRef ds:uri="a3840f4f-04be-43d1-b2ef-6ff1382503c7"/>
    <ds:schemaRef ds:uri="http://schemas.openxmlformats.org/package/2006/metadata/core-properties"/>
    <ds:schemaRef ds:uri="83f22d2f-d16e-4be6-ad4f-29fa0b067c3c"/>
    <ds:schemaRef ds:uri="http://schemas.microsoft.com/office/2006/documentManagement/types"/>
    <ds:schemaRef ds:uri="3b34c8f0-1ef5-4d1e-bb66-517ce7fe7356"/>
    <ds:schemaRef ds:uri="71c5aaf6-e6ce-465b-b873-5148d2a4c10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130</TotalTime>
  <Pages>2</Pages>
  <Words>752</Words>
  <Characters>4290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5032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Turtinen, Samuli (Nokia - FI/Oulu)</cp:lastModifiedBy>
  <cp:revision>5</cp:revision>
  <dcterms:created xsi:type="dcterms:W3CDTF">2019-05-01T15:40:00Z</dcterms:created>
  <dcterms:modified xsi:type="dcterms:W3CDTF">2019-05-02T14:28:00Z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